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7CD9" w14:textId="48A88576" w:rsidR="003D36EB" w:rsidRPr="003858F1" w:rsidRDefault="003858F1" w:rsidP="00394964">
      <w:pPr>
        <w:ind w:left="5760" w:firstLine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0" locked="0" layoutInCell="1" allowOverlap="1" wp14:anchorId="2044F612" wp14:editId="6306C3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5225" cy="972820"/>
            <wp:effectExtent l="0" t="0" r="3175" b="508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6" t="30617" r="15320" b="30629"/>
                    <a:stretch/>
                  </pic:blipFill>
                  <pic:spPr bwMode="auto">
                    <a:xfrm>
                      <a:off x="0" y="0"/>
                      <a:ext cx="2435225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424D20" w14:textId="77777777" w:rsidR="00DF58D4" w:rsidRDefault="00DF58D4" w:rsidP="00DF58D4">
      <w:pPr>
        <w:rPr>
          <w:rFonts w:ascii="Arial Unicode MS" w:eastAsia="Arial Unicode MS" w:hAnsi="Arial Unicode MS" w:cs="Arial Unicode MS"/>
        </w:rPr>
      </w:pPr>
    </w:p>
    <w:p w14:paraId="6635152D" w14:textId="1BE752D8" w:rsidR="00DF58D4" w:rsidRDefault="00DF58D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1F6B2" wp14:editId="6728CD44">
                <wp:simplePos x="0" y="0"/>
                <wp:positionH relativeFrom="column">
                  <wp:posOffset>414020</wp:posOffset>
                </wp:positionH>
                <wp:positionV relativeFrom="paragraph">
                  <wp:posOffset>204041</wp:posOffset>
                </wp:positionV>
                <wp:extent cx="5955957" cy="8855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957" cy="88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E47C4" w14:textId="4F548C31" w:rsid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27658E"/>
                              </w:rPr>
                            </w:pPr>
                            <w:r w:rsidRPr="00DF58D4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27658E"/>
                              </w:rPr>
                              <w:t>MEDIA RELEASE</w:t>
                            </w:r>
                          </w:p>
                          <w:p w14:paraId="79931B80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27658E"/>
                              </w:rPr>
                            </w:pPr>
                          </w:p>
                          <w:p w14:paraId="5F7072BD" w14:textId="77777777" w:rsidR="00BA55AE" w:rsidRDefault="00BA55AE" w:rsidP="00BA55AE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 April 2021</w:t>
                            </w:r>
                          </w:p>
                          <w:p w14:paraId="7EB40157" w14:textId="77777777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8938BE" w14:textId="77777777" w:rsidR="00BA55AE" w:rsidRDefault="00BA55AE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  <w:p w14:paraId="5AA47053" w14:textId="77EE99A5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 xml:space="preserve">With Formal Accreditation of Dental Continuing Professional Development (CPD) commencing across Australia &amp; New Zealand, it’s time to ask . . .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i</w:t>
                            </w: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s your Dental CPD Accredited?</w:t>
                            </w:r>
                          </w:p>
                          <w:p w14:paraId="7175F498" w14:textId="77777777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BA9353" w14:textId="77777777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B2BEB4" w14:textId="77777777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line with recent Scope of Practice changes and Recertification requirements for Dental Practitioners across Australia and New Zealand, the Dental Education Accreditation Committee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(DEAC) </w:t>
                            </w: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has been tasked with formally accrediting both Providers of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Dental </w:t>
                            </w: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CPD and their activities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for the benefit of practitioners; the profession; and the public</w:t>
                            </w:r>
                            <w:r w:rsidRPr="00E32277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4ADA6E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39FBA4" w14:textId="77777777" w:rsidR="00BA55AE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142D75B" w14:textId="4B2E4E2E" w:rsidR="00BA55AE" w:rsidRPr="009B03A2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658E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9B03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658E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The Problem</w:t>
                            </w:r>
                          </w:p>
                          <w:p w14:paraId="71272754" w14:textId="77777777" w:rsidR="00BA55AE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1DAA7C0A" w14:textId="0C4C961A" w:rsidR="00DF58D4" w:rsidRPr="00EA3465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CPD is an umbrella term used to describe a plethora of learning activities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which D</w:t>
                            </w: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ental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P</w:t>
                            </w: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ractitioners engage in to develop, enhance and maintain their knowledge and abilities throughout their professional careers.  </w:t>
                            </w:r>
                          </w:p>
                          <w:p w14:paraId="30654973" w14:textId="77777777" w:rsidR="00DF58D4" w:rsidRPr="00EA3465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38BF94FF" w14:textId="77777777" w:rsidR="00DF58D4" w:rsidRPr="00EA3465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In recent years, the number of individuals and organisations claiming to provide appropriate CPD and the volume and variety of activities claiming to represent appropriate CPD, have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grown exponentially, with education becoming a big business.</w:t>
                            </w: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8C3DAC5" w14:textId="77777777" w:rsidR="00DF58D4" w:rsidRPr="00EA3465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CAC9320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While all Dental </w:t>
                            </w: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Practitioners have an annual CPD obligation in order to comply with the requirements for ongoing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R</w:t>
                            </w: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egistration and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R</w:t>
                            </w:r>
                            <w:r w:rsidRPr="00EA346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ecertification,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there have, to date, been very few safeguards in place to ensure that CPD being undertaken is of the requisite standard to achieve the goals of career-long learning.  </w:t>
                            </w:r>
                          </w:p>
                          <w:p w14:paraId="0395317C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D980318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Additionally, there has been a dramatic rise in complaints against Practitioners over recent years, with the vast majority being related to the standard of clinical care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, requiring disciplinary bodies to prescribe courses of corrective quality education, to ensure standards are met.</w:t>
                            </w:r>
                          </w:p>
                          <w:p w14:paraId="1BBB672B" w14:textId="4A7A099C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6CF89C7" w14:textId="22E5648C" w:rsidR="00BA55AE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54F0CC0" w14:textId="283B82D7" w:rsidR="00BA55AE" w:rsidRPr="009B03A2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658E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9B03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658E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The Solution</w:t>
                            </w:r>
                          </w:p>
                          <w:p w14:paraId="0E172A4E" w14:textId="77777777" w:rsidR="00BA55AE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F719FFA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As a result, serious concern exists regarding the creation of a CPD “perfect storm” – Practitioners being compelled to engage in CPD activities but failing to perform their own due diligence; focused solely on fulfilling an arbitrary quota instead of engaging in a conscious and proactive quality assessment; while being misled by commercially focused CPD providers making a variety of claims as to their education credentials, often listing compliance with a variety of paid accreditation services based in the UK, USA or Europe. </w:t>
                            </w:r>
                          </w:p>
                          <w:p w14:paraId="45134556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F57D67A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975EF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address these concerns</w:t>
                            </w:r>
                            <w:r w:rsidRPr="00975EF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framework</w:t>
                            </w:r>
                            <w:r w:rsidRPr="00975EF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of formal accreditation for both Providers of Dental CPD and their activities has been introduced across Australia and New Zealand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with the Dental Education Accreditation Committee performing these functions</w:t>
                            </w:r>
                            <w:r w:rsidRPr="00975EF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7CBBED1" w14:textId="77777777" w:rsidR="00DF58D4" w:rsidRDefault="00DF58D4" w:rsidP="00DF58D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2A4997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Paralleling those processes used to accredit Dental Schools and Programs of Study leading to initial Provider Registration, 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The DEAC formal CPD accreditation functions have been assigned in line with the CPD Standards, Policies, Guidelines and Re-Certification requirements of the Dental Board of Australia and the Dental Council of New Zealand, filling a regulatory void and 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providing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 vital assurances as to the quality and integrity of ongoing dental professional development and competencies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.</w:t>
                            </w:r>
                          </w:p>
                          <w:p w14:paraId="5EB0415A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1896B813" w14:textId="2C7DF3EE" w:rsidR="00DF58D4" w:rsidRPr="00DF58D4" w:rsidRDefault="00DF58D4" w:rsidP="00DF58D4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46E36004" w14:textId="34FC711D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1F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pt;margin-top:16.05pt;width:468.95pt;height:6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" filled="f" stroked="f" strokeweight=".5pt">
                <v:textbox>
                  <w:txbxContent>
                    <w:p w14:paraId="221E47C4" w14:textId="4F548C31" w:rsid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color w:val="27658E"/>
                        </w:rPr>
                      </w:pPr>
                      <w:r w:rsidRPr="00DF58D4">
                        <w:rPr>
                          <w:rFonts w:ascii="Arial" w:eastAsia="Arial Unicode MS" w:hAnsi="Arial" w:cs="Arial"/>
                          <w:b/>
                          <w:bCs/>
                          <w:color w:val="27658E"/>
                        </w:rPr>
                        <w:t>MEDIA RELEASE</w:t>
                      </w:r>
                    </w:p>
                    <w:p w14:paraId="79931B80" w14:textId="77777777" w:rsidR="00DF58D4" w:rsidRP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color w:val="27658E"/>
                        </w:rPr>
                      </w:pPr>
                    </w:p>
                    <w:p w14:paraId="5F7072BD" w14:textId="77777777" w:rsidR="00BA55AE" w:rsidRDefault="00BA55AE" w:rsidP="00BA55AE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>7 April 2021</w:t>
                      </w:r>
                    </w:p>
                    <w:p w14:paraId="7EB40157" w14:textId="77777777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178938BE" w14:textId="77777777" w:rsidR="00BA55AE" w:rsidRDefault="00BA55AE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</w:rPr>
                      </w:pPr>
                    </w:p>
                    <w:p w14:paraId="5AA47053" w14:textId="77EE99A5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</w:rPr>
                      </w:pP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</w:rPr>
                        <w:t xml:space="preserve">With Formal Accreditation of Dental Continuing Professional Development (CPD) commencing across Australia &amp; New Zealand, it’s time to ask . . . 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</w:rPr>
                        <w:t>i</w:t>
                      </w: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</w:rPr>
                        <w:t>s your Dental CPD Accredited?</w:t>
                      </w:r>
                    </w:p>
                    <w:p w14:paraId="7175F498" w14:textId="77777777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BBA9353" w14:textId="77777777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B2BEB4" w14:textId="77777777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 xml:space="preserve">In line with recent Scope of Practice changes and Recertification requirements for Dental Practitioners across Australia and New Zealand, the Dental Education Accreditation Committee 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 xml:space="preserve"> (DEAC) </w:t>
                      </w: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 xml:space="preserve">has been tasked with formally accrediting both Providers of 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 xml:space="preserve">Dental </w:t>
                      </w: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>CPD and their activities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>, for the benefit of practitioners; the profession; and the public</w:t>
                      </w:r>
                      <w:r w:rsidRPr="00E32277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74ADA6E" w14:textId="77777777" w:rsid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39FBA4" w14:textId="77777777" w:rsidR="00BA55AE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142D75B" w14:textId="4B2E4E2E" w:rsidR="00BA55AE" w:rsidRPr="009B03A2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7658E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9B03A2">
                        <w:rPr>
                          <w:rFonts w:ascii="Arial" w:eastAsia="Times New Roman" w:hAnsi="Arial" w:cs="Arial"/>
                          <w:b/>
                          <w:bCs/>
                          <w:color w:val="27658E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The Problem</w:t>
                      </w:r>
                    </w:p>
                    <w:p w14:paraId="71272754" w14:textId="77777777" w:rsidR="00BA55AE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1DAA7C0A" w14:textId="0C4C961A" w:rsidR="00DF58D4" w:rsidRPr="00EA3465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CPD is an umbrella term used to describe a plethora of learning activities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which D</w:t>
                      </w: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ental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P</w:t>
                      </w: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ractitioners engage in to develop, enhance and maintain their knowledge and abilities throughout their professional careers.  </w:t>
                      </w:r>
                    </w:p>
                    <w:p w14:paraId="30654973" w14:textId="77777777" w:rsidR="00DF58D4" w:rsidRPr="00EA3465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38BF94FF" w14:textId="77777777" w:rsidR="00DF58D4" w:rsidRPr="00EA3465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In recent years, the number of individuals and organisations claiming to provide appropriate CPD and the volume and variety of activities claiming to represent appropriate CPD, have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grown exponentially, with education becoming a big business.</w:t>
                      </w: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14:paraId="28C3DAC5" w14:textId="77777777" w:rsidR="00DF58D4" w:rsidRPr="00EA3465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7CAC9320" w14:textId="77777777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While all Dental </w:t>
                      </w: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Practitioners have an annual CPD obligation in order to comply with the requirements for ongoing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R</w:t>
                      </w: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egistration and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R</w:t>
                      </w:r>
                      <w:r w:rsidRPr="00EA3465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ecertification,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there have, to date, been very few safeguards in place to ensure that CPD being undertaken is of the requisite standard to achieve the goals of career-long learning.  </w:t>
                      </w:r>
                    </w:p>
                    <w:p w14:paraId="0395317C" w14:textId="77777777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0D980318" w14:textId="77777777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Additionally, there has been a dramatic rise in complaints against Practitioners over recent years, with the vast majority being related to the standard of clinical care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vertAlign w:val="superscript"/>
                          <w:lang w:eastAsia="en-GB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, requiring disciplinary bodies to prescribe courses of corrective quality education, to ensure standards are met.</w:t>
                      </w:r>
                    </w:p>
                    <w:p w14:paraId="1BBB672B" w14:textId="4A7A099C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46CF89C7" w14:textId="22E5648C" w:rsidR="00BA55AE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54F0CC0" w14:textId="283B82D7" w:rsidR="00BA55AE" w:rsidRPr="009B03A2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7658E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9B03A2">
                        <w:rPr>
                          <w:rFonts w:ascii="Arial" w:eastAsia="Times New Roman" w:hAnsi="Arial" w:cs="Arial"/>
                          <w:b/>
                          <w:bCs/>
                          <w:color w:val="27658E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The Solution</w:t>
                      </w:r>
                    </w:p>
                    <w:p w14:paraId="0E172A4E" w14:textId="77777777" w:rsidR="00BA55AE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7F719FFA" w14:textId="77777777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As a result, serious concern exists regarding the creation of a CPD “perfect storm” – Practitioners being compelled to engage in CPD activities but failing to perform their own due diligence; focused solely on fulfilling an arbitrary quota instead of engaging in a conscious and proactive quality assessment; while being misled by commercially focused CPD providers making a variety of claims as to their education credentials, often listing compliance with a variety of paid accreditation services based in the UK, USA or Europe. </w:t>
                      </w:r>
                    </w:p>
                    <w:p w14:paraId="45134556" w14:textId="77777777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0F57D67A" w14:textId="77777777" w:rsid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975EF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address these concerns</w:t>
                      </w:r>
                      <w:r w:rsidRPr="00975EF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, a 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framework</w:t>
                      </w:r>
                      <w:r w:rsidRPr="00975EF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of formal accreditation for both Providers of Dental CPD and their activities has been introduced across Australia and New Zealand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with the Dental Education Accreditation Committee performing these functions</w:t>
                      </w:r>
                      <w:r w:rsidRPr="00975EF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7CBBED1" w14:textId="77777777" w:rsidR="00DF58D4" w:rsidRDefault="00DF58D4" w:rsidP="00DF58D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112A4997" w14:textId="77777777" w:rsidR="00DF58D4" w:rsidRP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DF58D4">
                        <w:rPr>
                          <w:rFonts w:ascii="Arial" w:eastAsia="Arial Unicode MS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Paralleling those processes used to accredit Dental Schools and Programs of Study leading to initial Provider Registration, 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The DEAC formal CPD accreditation functions have been assigned in line with the CPD Standards, Policies, Guidelines and Re-Certification requirements of the Dental Board of Australia and the Dental Council of New Zealand, filling a regulatory void and 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providing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 vital assurances as to the quality and integrity of ongoing dental professional development and competencies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.</w:t>
                      </w:r>
                    </w:p>
                    <w:p w14:paraId="5EB0415A" w14:textId="77777777" w:rsidR="00DF58D4" w:rsidRP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1896B813" w14:textId="2C7DF3EE" w:rsidR="00DF58D4" w:rsidRPr="00DF58D4" w:rsidRDefault="00DF58D4" w:rsidP="00DF58D4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46E36004" w14:textId="34FC711D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</w:rPr>
        <w:br w:type="page"/>
      </w:r>
    </w:p>
    <w:p w14:paraId="5F50E9D3" w14:textId="77777777" w:rsidR="00DF58D4" w:rsidRDefault="00DF58D4" w:rsidP="00DF58D4">
      <w:pPr>
        <w:rPr>
          <w:rFonts w:ascii="Montserrat" w:eastAsia="Times New Roman" w:hAnsi="Montserrat" w:cs="Times New Roman"/>
          <w:color w:val="626262"/>
          <w:spacing w:val="5"/>
          <w:shd w:val="clear" w:color="auto" w:fill="FFFFFF"/>
          <w:lang w:eastAsia="en-GB"/>
        </w:rPr>
      </w:pPr>
    </w:p>
    <w:p w14:paraId="5AE6B761" w14:textId="5110428E" w:rsidR="00DF58D4" w:rsidRPr="00DF58D4" w:rsidRDefault="00DF58D4" w:rsidP="00DF58D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509CB" wp14:editId="448900A1">
                <wp:simplePos x="0" y="0"/>
                <wp:positionH relativeFrom="column">
                  <wp:posOffset>480214</wp:posOffset>
                </wp:positionH>
                <wp:positionV relativeFrom="paragraph">
                  <wp:posOffset>178212</wp:posOffset>
                </wp:positionV>
                <wp:extent cx="5955665" cy="9827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982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F549E" w14:textId="77777777" w:rsidR="00BA55AE" w:rsidRPr="00DF58D4" w:rsidRDefault="00BA55AE" w:rsidP="00BA55A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While its primary purpose is to demonstrate to the profession whether or not individual CPD Providers and their Activities have met an appropriate Standard, 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the DEAC acknowledges that innovation and diversity of CPD Providers and in their chosen teaching and learning approaches, forms a vital component in strengthening  the continuum of dental education across Australian and New Zealand.</w:t>
                            </w:r>
                          </w:p>
                          <w:p w14:paraId="478A4393" w14:textId="77777777" w:rsidR="00BA55AE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3E3F70CB" w14:textId="2F0E02B2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The DEAC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ccreditation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F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ramework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 xml:space="preserve"> is designed to reflect the expectations of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 xml:space="preserve">rofession and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 xml:space="preserve">egulators, while not unduly restricting the ways in which CPD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P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roviders achieve these outcomes.</w:t>
                            </w:r>
                          </w:p>
                          <w:p w14:paraId="3B02BFF3" w14:textId="77777777" w:rsidR="00DF58D4" w:rsidRDefault="00DF58D4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22D700E7" w14:textId="44ED87EA" w:rsidR="00DF58D4" w:rsidRDefault="00DF58D4" w:rsidP="00BA55A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B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y applying an impartial and objective assessment of the structure, content, legitimacy and value of CPD Providers and their activities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, the DEAC is able to </w:t>
                            </w: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work with Providers of CPD to develop, such that may meet the Accreditation Standards, rather than arbitrarily denying Accreditation.</w:t>
                            </w:r>
                          </w:p>
                          <w:p w14:paraId="6783F445" w14:textId="77777777" w:rsidR="00DF58D4" w:rsidRPr="00DF58D4" w:rsidRDefault="00DF58D4" w:rsidP="00BA55A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D4A59A3" w14:textId="77777777" w:rsidR="00DF58D4" w:rsidRPr="00DF58D4" w:rsidRDefault="00DF58D4" w:rsidP="00BA55A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Providing a framework, support and guidance to the Dental Profession in relation to CPD best practice, affords clarity and certainty for:</w:t>
                            </w:r>
                          </w:p>
                          <w:p w14:paraId="77881A77" w14:textId="4C1E6354" w:rsidR="00DF58D4" w:rsidRPr="00DF58D4" w:rsidRDefault="00DF58D4" w:rsidP="00BA5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Dental Practitioners, on how best to meet their professional obligations for continued Registration and Recertification</w:t>
                            </w:r>
                          </w:p>
                          <w:p w14:paraId="58E28625" w14:textId="44D5669B" w:rsidR="00DF58D4" w:rsidRPr="00DF58D4" w:rsidRDefault="00DF58D4" w:rsidP="00BA5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CPD providers, on how best to develop appropriate CPD activities</w:t>
                            </w:r>
                          </w:p>
                          <w:p w14:paraId="054130E2" w14:textId="77777777" w:rsidR="00DF58D4" w:rsidRPr="00DF58D4" w:rsidRDefault="00DF58D4" w:rsidP="00BA55A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F58D4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The safety and protection of the public, giving the community confidence that Dental Practitioners maintain competency standards throughout their professional careers.</w:t>
                            </w:r>
                          </w:p>
                          <w:p w14:paraId="4C99D038" w14:textId="77777777" w:rsidR="00BA55AE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0FCEFBF" w14:textId="42157798" w:rsidR="00DF58D4" w:rsidRPr="009B03A2" w:rsidRDefault="00BA55AE" w:rsidP="00DF58D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658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03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7658E"/>
                                <w:sz w:val="20"/>
                                <w:szCs w:val="20"/>
                                <w:lang w:eastAsia="en-GB"/>
                              </w:rPr>
                              <w:t>What to look for</w:t>
                            </w:r>
                          </w:p>
                          <w:p w14:paraId="72863B37" w14:textId="43D5D18E" w:rsid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F9412C" w14:textId="2EB809C2" w:rsidR="00BA55AE" w:rsidRDefault="00BA55AE" w:rsidP="00BA55A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BA55AE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DEAC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qualitative, two-tier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ccreditation process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results in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both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CPD Providers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and their accredited activities, will bear 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"DEAC Accredited" symbols.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Activity symbols carry a two-character code, where the number relates to the number of accredited CPD </w:t>
                            </w:r>
                            <w:r w:rsidR="009F341B"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hours,</w:t>
                            </w:r>
                            <w:r w:rsidRPr="00BA55AE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and the letter relates to the type of CPD – “N” for Non-Scientific and “S” for Scientific.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 Note that while a Provider may be accredited, not all of their programs may have achieved accreditation and both symbols should be displayed.</w:t>
                            </w:r>
                          </w:p>
                          <w:p w14:paraId="6537BA49" w14:textId="25F268E0" w:rsidR="00BA55AE" w:rsidRDefault="00BA55AE" w:rsidP="00BA55AE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FAE117F" w14:textId="1B7589AA" w:rsidR="00BA55AE" w:rsidRPr="00BA55AE" w:rsidRDefault="00BA55AE" w:rsidP="00BA55AE">
                            <w:pPr>
                              <w:ind w:left="1440" w:firstLine="72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AC7386E" wp14:editId="62F7728C">
                                  <wp:extent cx="1029729" cy="1006847"/>
                                  <wp:effectExtent l="0" t="0" r="0" b="0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64" t="18926" r="8319" b="179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097" cy="100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B999BC8" wp14:editId="38A30109">
                                  <wp:extent cx="1045930" cy="10459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68" t="22339" r="30155" b="221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597" cy="104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3534F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8B512D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B61B24" w14:textId="77777777" w:rsidR="00DF58D4" w:rsidRPr="009B03A2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7658E"/>
                                <w:sz w:val="20"/>
                                <w:szCs w:val="20"/>
                              </w:rPr>
                            </w:pPr>
                            <w:r w:rsidRPr="009B03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7658E"/>
                                <w:sz w:val="20"/>
                                <w:szCs w:val="20"/>
                              </w:rPr>
                              <w:t>About the DEAC</w:t>
                            </w:r>
                          </w:p>
                          <w:p w14:paraId="2E3C0E38" w14:textId="07AB8388" w:rsidR="00DF58D4" w:rsidRPr="009B03A2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AF47B6" w14:textId="7C89CE44" w:rsidR="009B03A2" w:rsidRPr="009B03A2" w:rsidRDefault="009F341B" w:rsidP="009B03A2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03A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The independent, non-profit authority</w:t>
                            </w:r>
                            <w:r w:rsidR="009B03A2" w:rsidRPr="009B03A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 w:themeColor="text1"/>
                                <w:spacing w:val="5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assigned responsibility for formally accrediting Providers of Continuing Professional Development (CPD) &amp; their activities in the profession of Dentistry, throughout Australia &amp; New Zealand.</w:t>
                            </w:r>
                          </w:p>
                          <w:p w14:paraId="59E1B6BF" w14:textId="77777777" w:rsidR="009B03A2" w:rsidRPr="009B03A2" w:rsidRDefault="009B03A2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F37242" w14:textId="77777777" w:rsidR="009B03A2" w:rsidRPr="00DF58D4" w:rsidRDefault="009B03A2" w:rsidP="009B0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8D4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https://www.ahpra.gov.au/Publications/Annual-reports/Annual-Report-2020/Notifications.aspx</w:t>
                            </w:r>
                          </w:p>
                          <w:p w14:paraId="50FA4186" w14:textId="1F730820" w:rsid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0B654E" w14:textId="77777777" w:rsidR="009B03A2" w:rsidRPr="00DF58D4" w:rsidRDefault="009B03A2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B0A0F3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8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Ends</w:t>
                            </w:r>
                          </w:p>
                          <w:p w14:paraId="321B5A01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589607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807731" w14:textId="77777777" w:rsidR="00DF58D4" w:rsidRPr="009B03A2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7658E"/>
                                <w:sz w:val="20"/>
                                <w:szCs w:val="20"/>
                              </w:rPr>
                            </w:pPr>
                            <w:r w:rsidRPr="009B03A2">
                              <w:rPr>
                                <w:rFonts w:ascii="Arial" w:hAnsi="Arial" w:cs="Arial"/>
                                <w:b/>
                                <w:color w:val="27658E"/>
                                <w:sz w:val="20"/>
                                <w:szCs w:val="20"/>
                              </w:rPr>
                              <w:t>Media Contact:</w:t>
                            </w:r>
                          </w:p>
                          <w:p w14:paraId="666954D0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8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Natalie Pritchard</w:t>
                            </w:r>
                          </w:p>
                          <w:p w14:paraId="71E78A5F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8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DEAC Communications Director</w:t>
                            </w:r>
                          </w:p>
                          <w:p w14:paraId="5AB46468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8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E: enquiries@dentalcommittee.org</w:t>
                            </w:r>
                          </w:p>
                          <w:p w14:paraId="557CDA66" w14:textId="1F3A2539" w:rsidR="00DF58D4" w:rsidRDefault="00DF58D4" w:rsidP="00DF58D4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4B2C4EA" w14:textId="615ECF04" w:rsidR="009B03A2" w:rsidRPr="009B03A2" w:rsidRDefault="009B03A2" w:rsidP="009B03A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27658E"/>
                                <w:sz w:val="20"/>
                                <w:szCs w:val="20"/>
                              </w:rPr>
                            </w:pPr>
                            <w:r w:rsidRPr="009B03A2">
                              <w:rPr>
                                <w:rFonts w:ascii="Arial Unicode MS" w:eastAsia="Arial Unicode MS" w:hAnsi="Arial Unicode MS" w:cs="Arial Unicode MS"/>
                                <w:color w:val="27658E"/>
                                <w:sz w:val="20"/>
                                <w:szCs w:val="20"/>
                              </w:rPr>
                              <w:t>Dental Education Accreditation Committee</w:t>
                            </w:r>
                          </w:p>
                          <w:p w14:paraId="116EB77D" w14:textId="77777777" w:rsidR="009B03A2" w:rsidRPr="009B03A2" w:rsidRDefault="009B03A2" w:rsidP="009B03A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27658E"/>
                                <w:sz w:val="20"/>
                                <w:szCs w:val="20"/>
                              </w:rPr>
                            </w:pPr>
                            <w:r w:rsidRPr="009B03A2">
                              <w:rPr>
                                <w:rFonts w:ascii="Arial Unicode MS" w:eastAsia="Arial Unicode MS" w:hAnsi="Arial Unicode MS" w:cs="Arial Unicode MS"/>
                                <w:color w:val="27658E"/>
                                <w:sz w:val="20"/>
                                <w:szCs w:val="20"/>
                              </w:rPr>
                              <w:t xml:space="preserve">GPO Box       PERTH WA 6000   </w:t>
                            </w:r>
                          </w:p>
                          <w:p w14:paraId="0D38B5E1" w14:textId="4D109D48" w:rsidR="009B03A2" w:rsidRPr="009B03A2" w:rsidRDefault="009B03A2" w:rsidP="009B03A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9B03A2">
                              <w:rPr>
                                <w:rFonts w:ascii="Arial Unicode MS" w:eastAsia="Arial Unicode MS" w:hAnsi="Arial Unicode MS" w:cs="Arial Unicode MS"/>
                                <w:color w:val="27658E"/>
                                <w:sz w:val="20"/>
                                <w:szCs w:val="20"/>
                              </w:rPr>
                              <w:t xml:space="preserve">dentalcommittee.org     </w:t>
                            </w:r>
                          </w:p>
                          <w:p w14:paraId="0C4AC012" w14:textId="77777777" w:rsidR="009B03A2" w:rsidRPr="003858F1" w:rsidRDefault="009B03A2" w:rsidP="00DF58D4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14:paraId="14BC2A59" w14:textId="77777777" w:rsidR="00DF58D4" w:rsidRPr="00DF58D4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27658E"/>
                              </w:rPr>
                            </w:pPr>
                          </w:p>
                          <w:p w14:paraId="11B145F7" w14:textId="77777777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F9E64B" w14:textId="77777777" w:rsidR="00DF58D4" w:rsidRPr="00E32277" w:rsidRDefault="00DF58D4" w:rsidP="00DF58D4">
                            <w:pPr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09CB" id="Text Box 3" o:spid="_x0000_s1027" type="#_x0000_t202" style="position:absolute;margin-left:37.8pt;margin-top:14.05pt;width:468.95pt;height:7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" filled="f" stroked="f" strokeweight=".5pt">
                <v:textbox>
                  <w:txbxContent>
                    <w:p w14:paraId="296F549E" w14:textId="77777777" w:rsidR="00BA55AE" w:rsidRPr="00DF58D4" w:rsidRDefault="00BA55AE" w:rsidP="00BA55AE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While its primary purpose is to demonstrate to the profession whether or not individual CPD Providers and their Activities have met an appropriate Standard, 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the DEAC acknowledges that innovation and diversity of CPD Providers and in their chosen teaching and learning approaches, forms a vital component in strengthening  the continuum of dental education across Australian and New Zealand.</w:t>
                      </w:r>
                    </w:p>
                    <w:p w14:paraId="478A4393" w14:textId="77777777" w:rsidR="00BA55AE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3E3F70CB" w14:textId="2F0E02B2" w:rsidR="00DF58D4" w:rsidRP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The DEAC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ccreditation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F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ramework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 xml:space="preserve"> is designed to reflect the expectations of the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P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 xml:space="preserve">rofession and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 xml:space="preserve">egulators, while not unduly restricting the ways in which CPD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P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roviders achieve these outcomes.</w:t>
                      </w:r>
                    </w:p>
                    <w:p w14:paraId="3B02BFF3" w14:textId="77777777" w:rsidR="00DF58D4" w:rsidRDefault="00DF58D4" w:rsidP="00DF58D4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22D700E7" w14:textId="44ED87EA" w:rsidR="00DF58D4" w:rsidRDefault="00DF58D4" w:rsidP="00BA55AE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B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y applying an impartial and objective assessment of the structure, content, legitimacy and value of CPD Providers and their activities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, the DEAC is able to </w:t>
                      </w: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work with Providers of CPD to develop, such that may meet the Accreditation Standards, rather than arbitrarily denying Accreditation.</w:t>
                      </w:r>
                    </w:p>
                    <w:p w14:paraId="6783F445" w14:textId="77777777" w:rsidR="00DF58D4" w:rsidRPr="00DF58D4" w:rsidRDefault="00DF58D4" w:rsidP="00BA55AE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D4A59A3" w14:textId="77777777" w:rsidR="00DF58D4" w:rsidRPr="00DF58D4" w:rsidRDefault="00DF58D4" w:rsidP="00BA55AE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Providing a framework, support and guidance to the Dental Profession in relation to CPD best practice, affords clarity and certainty for:</w:t>
                      </w:r>
                    </w:p>
                    <w:p w14:paraId="77881A77" w14:textId="4C1E6354" w:rsidR="00DF58D4" w:rsidRPr="00DF58D4" w:rsidRDefault="00DF58D4" w:rsidP="00BA5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</w:pP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Dental Practitioners, on how best to meet their professional obligations for continued Registration and Recertification</w:t>
                      </w:r>
                    </w:p>
                    <w:p w14:paraId="58E28625" w14:textId="44D5669B" w:rsidR="00DF58D4" w:rsidRPr="00DF58D4" w:rsidRDefault="00DF58D4" w:rsidP="00BA5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</w:pP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CPD providers, on how best to develop appropriate CPD activities</w:t>
                      </w:r>
                    </w:p>
                    <w:p w14:paraId="054130E2" w14:textId="77777777" w:rsidR="00DF58D4" w:rsidRPr="00DF58D4" w:rsidRDefault="00DF58D4" w:rsidP="00BA55A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</w:pPr>
                      <w:r w:rsidRPr="00DF58D4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lang w:eastAsia="en-GB"/>
                        </w:rPr>
                        <w:t>The safety and protection of the public, giving the community confidence that Dental Practitioners maintain competency standards throughout their professional careers.</w:t>
                      </w:r>
                    </w:p>
                    <w:p w14:paraId="4C99D038" w14:textId="77777777" w:rsidR="00BA55AE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0FCEFBF" w14:textId="42157798" w:rsidR="00DF58D4" w:rsidRPr="009B03A2" w:rsidRDefault="00BA55AE" w:rsidP="00DF58D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7658E"/>
                          <w:sz w:val="20"/>
                          <w:szCs w:val="20"/>
                          <w:lang w:eastAsia="en-GB"/>
                        </w:rPr>
                      </w:pPr>
                      <w:r w:rsidRPr="009B03A2">
                        <w:rPr>
                          <w:rFonts w:ascii="Arial" w:eastAsia="Times New Roman" w:hAnsi="Arial" w:cs="Arial"/>
                          <w:b/>
                          <w:bCs/>
                          <w:color w:val="27658E"/>
                          <w:sz w:val="20"/>
                          <w:szCs w:val="20"/>
                          <w:lang w:eastAsia="en-GB"/>
                        </w:rPr>
                        <w:t>What to look for</w:t>
                      </w:r>
                    </w:p>
                    <w:p w14:paraId="72863B37" w14:textId="43D5D18E" w:rsid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F9412C" w14:textId="2EB809C2" w:rsidR="00BA55AE" w:rsidRDefault="00BA55AE" w:rsidP="00BA55AE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BA55AE">
                        <w:rPr>
                          <w:rFonts w:ascii="Arial" w:eastAsia="Arial Unicode MS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DEAC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qualitative, two-tier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ccreditation process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results in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both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CPD Providers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and their accredited activities, will bear 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"DEAC Accredited" symbols.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Activity symbols carry a two-character code, where the number relates to the number of accredited CPD </w:t>
                      </w:r>
                      <w:r w:rsidR="009F341B"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hours,</w:t>
                      </w:r>
                      <w:r w:rsidRPr="00BA55AE"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and the letter relates to the type of CPD – “N” for Non-Scientific and “S” for Scientific.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 Note that while a Provider may be accredited, not all of their programs may have achieved accreditation and both symbols should be displayed.</w:t>
                      </w:r>
                    </w:p>
                    <w:p w14:paraId="6537BA49" w14:textId="25F268E0" w:rsidR="00BA55AE" w:rsidRDefault="00BA55AE" w:rsidP="00BA55AE">
                      <w:pPr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</w:p>
                    <w:p w14:paraId="5FAE117F" w14:textId="1B7589AA" w:rsidR="00BA55AE" w:rsidRPr="00BA55AE" w:rsidRDefault="00BA55AE" w:rsidP="00BA55AE">
                      <w:pPr>
                        <w:ind w:left="1440" w:firstLine="72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AC7386E" wp14:editId="62F7728C">
                            <wp:extent cx="1029729" cy="1006847"/>
                            <wp:effectExtent l="0" t="0" r="0" b="0"/>
                            <wp:docPr id="4" name="Picture 4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64" t="18926" r="8319" b="179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1097" cy="10081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B999BC8" wp14:editId="38A30109">
                            <wp:extent cx="1045930" cy="10459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068" t="22339" r="30155" b="221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7597" cy="1047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3534F" w14:textId="77777777" w:rsidR="00DF58D4" w:rsidRP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8B512D" w14:textId="77777777" w:rsidR="00DF58D4" w:rsidRPr="00DF58D4" w:rsidRDefault="00DF58D4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B61B24" w14:textId="77777777" w:rsidR="00DF58D4" w:rsidRPr="009B03A2" w:rsidRDefault="00DF58D4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7658E"/>
                          <w:sz w:val="20"/>
                          <w:szCs w:val="20"/>
                        </w:rPr>
                      </w:pPr>
                      <w:r w:rsidRPr="009B03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7658E"/>
                          <w:sz w:val="20"/>
                          <w:szCs w:val="20"/>
                        </w:rPr>
                        <w:t>About the DEAC</w:t>
                      </w:r>
                    </w:p>
                    <w:p w14:paraId="2E3C0E38" w14:textId="07AB8388" w:rsidR="00DF58D4" w:rsidRPr="009B03A2" w:rsidRDefault="00DF58D4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AF47B6" w14:textId="7C89CE44" w:rsidR="009B03A2" w:rsidRPr="009B03A2" w:rsidRDefault="009F341B" w:rsidP="009B03A2">
                      <w:pPr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9B03A2"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The independent, non-profit authority</w:t>
                      </w:r>
                      <w:r w:rsidR="009B03A2" w:rsidRPr="009B03A2">
                        <w:rPr>
                          <w:rFonts w:ascii="Arial" w:eastAsia="Times New Roman" w:hAnsi="Arial" w:cs="Arial"/>
                          <w:i/>
                          <w:iCs/>
                          <w:color w:val="000000" w:themeColor="text1"/>
                          <w:spacing w:val="5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assigned responsibility for formally accrediting Providers of Continuing Professional Development (CPD) &amp; their activities in the profession of Dentistry, throughout Australia &amp; New Zealand.</w:t>
                      </w:r>
                    </w:p>
                    <w:p w14:paraId="59E1B6BF" w14:textId="77777777" w:rsidR="009B03A2" w:rsidRPr="009B03A2" w:rsidRDefault="009B03A2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F37242" w14:textId="77777777" w:rsidR="009B03A2" w:rsidRPr="00DF58D4" w:rsidRDefault="009B03A2" w:rsidP="009B0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eastAsia="Arial Unicode MS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F58D4">
                        <w:rPr>
                          <w:rFonts w:ascii="Arial" w:eastAsia="Arial Unicode MS" w:hAnsi="Arial" w:cs="Arial"/>
                          <w:color w:val="000000" w:themeColor="text1"/>
                          <w:sz w:val="20"/>
                          <w:szCs w:val="20"/>
                        </w:rPr>
                        <w:t>https://www.ahpra.gov.au/Publications/Annual-reports/Annual-Report-2020/Notifications.aspx</w:t>
                      </w:r>
                    </w:p>
                    <w:p w14:paraId="50FA4186" w14:textId="1F730820" w:rsidR="00DF58D4" w:rsidRDefault="00DF58D4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0B654E" w14:textId="77777777" w:rsidR="009B03A2" w:rsidRPr="00DF58D4" w:rsidRDefault="009B03A2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B0A0F3" w14:textId="77777777" w:rsidR="00DF58D4" w:rsidRPr="00DF58D4" w:rsidRDefault="00DF58D4" w:rsidP="00DF58D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F58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Ends</w:t>
                      </w:r>
                    </w:p>
                    <w:p w14:paraId="321B5A01" w14:textId="77777777" w:rsidR="00DF58D4" w:rsidRPr="00DF58D4" w:rsidRDefault="00DF58D4" w:rsidP="00DF58D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589607" w14:textId="77777777" w:rsidR="00DF58D4" w:rsidRPr="00DF58D4" w:rsidRDefault="00DF58D4" w:rsidP="00DF58D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807731" w14:textId="77777777" w:rsidR="00DF58D4" w:rsidRPr="009B03A2" w:rsidRDefault="00DF58D4" w:rsidP="00DF58D4">
                      <w:pPr>
                        <w:jc w:val="both"/>
                        <w:rPr>
                          <w:rFonts w:ascii="Arial" w:hAnsi="Arial" w:cs="Arial"/>
                          <w:b/>
                          <w:color w:val="27658E"/>
                          <w:sz w:val="20"/>
                          <w:szCs w:val="20"/>
                        </w:rPr>
                      </w:pPr>
                      <w:r w:rsidRPr="009B03A2">
                        <w:rPr>
                          <w:rFonts w:ascii="Arial" w:hAnsi="Arial" w:cs="Arial"/>
                          <w:b/>
                          <w:color w:val="27658E"/>
                          <w:sz w:val="20"/>
                          <w:szCs w:val="20"/>
                        </w:rPr>
                        <w:t>Media Contact:</w:t>
                      </w:r>
                    </w:p>
                    <w:p w14:paraId="666954D0" w14:textId="77777777" w:rsidR="00DF58D4" w:rsidRPr="00DF58D4" w:rsidRDefault="00DF58D4" w:rsidP="00DF58D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F58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Natalie Pritchard</w:t>
                      </w:r>
                    </w:p>
                    <w:p w14:paraId="71E78A5F" w14:textId="77777777" w:rsidR="00DF58D4" w:rsidRPr="00DF58D4" w:rsidRDefault="00DF58D4" w:rsidP="00DF58D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F58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DEAC Communications Director</w:t>
                      </w:r>
                    </w:p>
                    <w:p w14:paraId="5AB46468" w14:textId="77777777" w:rsidR="00DF58D4" w:rsidRP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F58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E: enquiries@dentalcommittee.org</w:t>
                      </w:r>
                    </w:p>
                    <w:p w14:paraId="557CDA66" w14:textId="1F3A2539" w:rsidR="00DF58D4" w:rsidRDefault="00DF58D4" w:rsidP="00DF58D4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4B2C4EA" w14:textId="615ECF04" w:rsidR="009B03A2" w:rsidRPr="009B03A2" w:rsidRDefault="009B03A2" w:rsidP="009B03A2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27658E"/>
                          <w:sz w:val="20"/>
                          <w:szCs w:val="20"/>
                        </w:rPr>
                      </w:pPr>
                      <w:r w:rsidRPr="009B03A2">
                        <w:rPr>
                          <w:rFonts w:ascii="Arial Unicode MS" w:eastAsia="Arial Unicode MS" w:hAnsi="Arial Unicode MS" w:cs="Arial Unicode MS"/>
                          <w:color w:val="27658E"/>
                          <w:sz w:val="20"/>
                          <w:szCs w:val="20"/>
                        </w:rPr>
                        <w:t>Dental Education Accreditation Committee</w:t>
                      </w:r>
                    </w:p>
                    <w:p w14:paraId="116EB77D" w14:textId="77777777" w:rsidR="009B03A2" w:rsidRPr="009B03A2" w:rsidRDefault="009B03A2" w:rsidP="009B03A2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27658E"/>
                          <w:sz w:val="20"/>
                          <w:szCs w:val="20"/>
                        </w:rPr>
                      </w:pPr>
                      <w:r w:rsidRPr="009B03A2">
                        <w:rPr>
                          <w:rFonts w:ascii="Arial Unicode MS" w:eastAsia="Arial Unicode MS" w:hAnsi="Arial Unicode MS" w:cs="Arial Unicode MS"/>
                          <w:color w:val="27658E"/>
                          <w:sz w:val="20"/>
                          <w:szCs w:val="20"/>
                        </w:rPr>
                        <w:t xml:space="preserve">GPO Box       PERTH WA 6000   </w:t>
                      </w:r>
                    </w:p>
                    <w:p w14:paraId="0D38B5E1" w14:textId="4D109D48" w:rsidR="009B03A2" w:rsidRPr="009B03A2" w:rsidRDefault="009B03A2" w:rsidP="009B03A2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9B03A2">
                        <w:rPr>
                          <w:rFonts w:ascii="Arial Unicode MS" w:eastAsia="Arial Unicode MS" w:hAnsi="Arial Unicode MS" w:cs="Arial Unicode MS"/>
                          <w:color w:val="27658E"/>
                          <w:sz w:val="20"/>
                          <w:szCs w:val="20"/>
                        </w:rPr>
                        <w:t xml:space="preserve">dentalcommittee.org     </w:t>
                      </w:r>
                    </w:p>
                    <w:p w14:paraId="0C4AC012" w14:textId="77777777" w:rsidR="009B03A2" w:rsidRPr="003858F1" w:rsidRDefault="009B03A2" w:rsidP="00DF58D4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14:paraId="14BC2A59" w14:textId="77777777" w:rsidR="00DF58D4" w:rsidRPr="00DF58D4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color w:val="27658E"/>
                        </w:rPr>
                      </w:pPr>
                    </w:p>
                    <w:p w14:paraId="11B145F7" w14:textId="77777777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9F9E64B" w14:textId="77777777" w:rsidR="00DF58D4" w:rsidRPr="00E32277" w:rsidRDefault="00DF58D4" w:rsidP="00DF58D4">
                      <w:pPr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9DF36" w14:textId="46D41401" w:rsidR="00DF58D4" w:rsidRPr="00DF58D4" w:rsidRDefault="00DF58D4" w:rsidP="00DF58D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Montserrat" w:eastAsia="Times New Roman" w:hAnsi="Montserrat" w:cs="Times New Roman"/>
          <w:color w:val="626262"/>
          <w:spacing w:val="5"/>
          <w:shd w:val="clear" w:color="auto" w:fill="FFFFFF"/>
          <w:lang w:eastAsia="en-GB"/>
        </w:rPr>
        <w:t xml:space="preserve"> </w:t>
      </w:r>
    </w:p>
    <w:p w14:paraId="6015FA2C" w14:textId="2034ED44" w:rsidR="00DF58D4" w:rsidRPr="00DF58D4" w:rsidRDefault="00DF58D4" w:rsidP="00DF58D4">
      <w:pPr>
        <w:rPr>
          <w:rFonts w:ascii="Times New Roman" w:eastAsia="Times New Roman" w:hAnsi="Times New Roman" w:cs="Times New Roman"/>
          <w:lang w:eastAsia="en-GB"/>
        </w:rPr>
      </w:pPr>
    </w:p>
    <w:p w14:paraId="462B6671" w14:textId="77777777" w:rsidR="00DF58D4" w:rsidRPr="00E32277" w:rsidRDefault="00DF58D4" w:rsidP="00DF58D4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0268E57C" w14:textId="77777777" w:rsidR="00DF58D4" w:rsidRDefault="00DF58D4" w:rsidP="00DF58D4">
      <w:pPr>
        <w:rPr>
          <w:rFonts w:ascii="Montserrat" w:eastAsia="Times New Roman" w:hAnsi="Montserrat" w:cs="Times New Roman"/>
          <w:color w:val="626262"/>
          <w:spacing w:val="5"/>
          <w:shd w:val="clear" w:color="auto" w:fill="FFFFFF"/>
          <w:lang w:eastAsia="en-GB"/>
        </w:rPr>
      </w:pPr>
    </w:p>
    <w:p w14:paraId="4C86653D" w14:textId="77777777" w:rsidR="00DF58D4" w:rsidRDefault="00DF58D4" w:rsidP="00DF58D4">
      <w:pPr>
        <w:rPr>
          <w:rFonts w:ascii="Montserrat" w:eastAsia="Times New Roman" w:hAnsi="Montserrat" w:cs="Times New Roman"/>
          <w:color w:val="626262"/>
          <w:spacing w:val="5"/>
          <w:shd w:val="clear" w:color="auto" w:fill="FFFFFF"/>
          <w:lang w:eastAsia="en-GB"/>
        </w:rPr>
      </w:pPr>
    </w:p>
    <w:p w14:paraId="2EFD05DD" w14:textId="1123AE8A" w:rsidR="00394964" w:rsidRPr="003858F1" w:rsidRDefault="00394964" w:rsidP="00DF58D4">
      <w:pPr>
        <w:rPr>
          <w:rFonts w:ascii="Arial Unicode MS" w:eastAsia="Arial Unicode MS" w:hAnsi="Arial Unicode MS" w:cs="Arial Unicode MS"/>
        </w:rPr>
      </w:pPr>
    </w:p>
    <w:sectPr w:rsidR="00394964" w:rsidRPr="003858F1" w:rsidSect="003949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70B"/>
    <w:multiLevelType w:val="multilevel"/>
    <w:tmpl w:val="229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B1F62"/>
    <w:multiLevelType w:val="hybridMultilevel"/>
    <w:tmpl w:val="3ACC07DE"/>
    <w:lvl w:ilvl="0" w:tplc="C494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F1"/>
    <w:rsid w:val="00273D2E"/>
    <w:rsid w:val="0034737B"/>
    <w:rsid w:val="003858F1"/>
    <w:rsid w:val="00394964"/>
    <w:rsid w:val="00575B73"/>
    <w:rsid w:val="00775470"/>
    <w:rsid w:val="00827D64"/>
    <w:rsid w:val="0091081B"/>
    <w:rsid w:val="00975EF5"/>
    <w:rsid w:val="009B03A2"/>
    <w:rsid w:val="009F341B"/>
    <w:rsid w:val="00BA55AE"/>
    <w:rsid w:val="00BC363E"/>
    <w:rsid w:val="00DF58D4"/>
    <w:rsid w:val="00E274DC"/>
    <w:rsid w:val="00E32277"/>
    <w:rsid w:val="00EA3465"/>
    <w:rsid w:val="00EF56D9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E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DEAC Media Release April 2021.dotx</Template>
  <TotalTime>122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director@aadfa.net</dc:creator>
  <cp:keywords/>
  <dc:description/>
  <cp:lastModifiedBy>director@aadfa.net</cp:lastModifiedBy>
  <cp:revision>17</cp:revision>
  <cp:lastPrinted>2021-03-31T09:49:00Z</cp:lastPrinted>
  <dcterms:created xsi:type="dcterms:W3CDTF">2021-03-31T06:51:00Z</dcterms:created>
  <dcterms:modified xsi:type="dcterms:W3CDTF">2021-03-31T13:05:00Z</dcterms:modified>
</cp:coreProperties>
</file>